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43" w:rsidRDefault="001B3F8C">
      <w:pPr>
        <w:spacing w:after="0" w:line="259" w:lineRule="auto"/>
        <w:ind w:left="0" w:right="9" w:firstLine="0"/>
        <w:jc w:val="center"/>
      </w:pPr>
      <w:r>
        <w:rPr>
          <w:b/>
          <w:sz w:val="24"/>
        </w:rPr>
        <w:t xml:space="preserve">Sample Position Paper </w:t>
      </w:r>
    </w:p>
    <w:p w:rsidR="00741D43" w:rsidRDefault="001B3F8C">
      <w:pPr>
        <w:spacing w:after="0" w:line="259" w:lineRule="auto"/>
        <w:ind w:left="45" w:firstLine="0"/>
        <w:jc w:val="center"/>
      </w:pPr>
      <w:r>
        <w:rPr>
          <w:b/>
        </w:rPr>
        <w:t xml:space="preserve"> </w:t>
      </w:r>
    </w:p>
    <w:p w:rsidR="00741D43" w:rsidRDefault="001B3F8C" w:rsidP="001B3F8C">
      <w:pPr>
        <w:spacing w:after="1" w:line="238" w:lineRule="auto"/>
        <w:ind w:left="0" w:firstLine="0"/>
        <w:jc w:val="left"/>
      </w:pPr>
      <w:r>
        <w:t>The following position paper is designed to be a sample of the standard format that a</w:t>
      </w:r>
      <w:bookmarkStart w:id="0" w:name="_GoBack"/>
      <w:bookmarkEnd w:id="0"/>
      <w:r>
        <w:t xml:space="preserve"> TS</w:t>
      </w:r>
      <w:r>
        <w:t xml:space="preserve">MUN position paper should follow. Papers may be no longer than two single-sided pages. Only the first two pages of any submissions will be considered for awards.  </w:t>
      </w:r>
    </w:p>
    <w:p w:rsidR="00741D43" w:rsidRDefault="001B3F8C">
      <w:pPr>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extent cx="5715000" cy="12700"/>
                <wp:effectExtent l="0" t="0" r="0" b="0"/>
                <wp:docPr id="957" name="Group 957"/>
                <wp:cNvGraphicFramePr/>
                <a:graphic xmlns:a="http://schemas.openxmlformats.org/drawingml/2006/main">
                  <a:graphicData uri="http://schemas.microsoft.com/office/word/2010/wordprocessingGroup">
                    <wpg:wgp>
                      <wpg:cNvGrpSpPr/>
                      <wpg:grpSpPr>
                        <a:xfrm>
                          <a:off x="0" y="0"/>
                          <a:ext cx="5715000" cy="12700"/>
                          <a:chOff x="0" y="0"/>
                          <a:chExt cx="5715000" cy="12700"/>
                        </a:xfrm>
                      </wpg:grpSpPr>
                      <wps:wsp>
                        <wps:cNvPr id="75" name="Shape 75"/>
                        <wps:cNvSpPr/>
                        <wps:spPr>
                          <a:xfrm>
                            <a:off x="0" y="0"/>
                            <a:ext cx="5715000" cy="0"/>
                          </a:xfrm>
                          <a:custGeom>
                            <a:avLst/>
                            <a:gdLst/>
                            <a:ahLst/>
                            <a:cxnLst/>
                            <a:rect l="0" t="0" r="0" b="0"/>
                            <a:pathLst>
                              <a:path w="5715000">
                                <a:moveTo>
                                  <a:pt x="0" y="0"/>
                                </a:moveTo>
                                <a:lnTo>
                                  <a:pt x="57150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40407F" id="Group 957" o:spid="_x0000_s1026" style="width:450pt;height:1pt;mso-position-horizontal-relative:char;mso-position-vertical-relative:line" coordsize="5715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">
                <v:shape id="Shape 75" o:spid="_x0000_s1027" style="position:absolute;width:57150;height:0;visibility:visible;mso-wrap-style:square;v-text-anchor:top" coordsize="571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ensYA&#10;AADbAAAADwAAAGRycy9kb3ducmV2LnhtbESP0WoCMRRE3wX/IdyCL6VmLbS2q1G0aNFSaLv1A66b&#10;283i5mZJom7/vhEKPg4zc4aZzjvbiBP5UDtWMBpmIIhLp2uuFOy+13dPIEJE1tg4JgW/FGA+6/em&#10;mGt35i86FbESCcIhRwUmxjaXMpSGLIaha4mT9+O8xZikr6T2eE5w28j7LHuUFmtOCwZbejFUHoqj&#10;VfCxHr+a1eftu3/LlsV+sfVHet4rNbjpFhMQkbp4Df+3N1rB+AEuX9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VensYAAADbAAAADwAAAAAAAAAAAAAAAACYAgAAZHJz&#10;L2Rvd25yZXYueG1sUEsFBgAAAAAEAAQA9QAAAIsDAAAAAA==&#10;" path="m,l5715000,e" filled="f" strokeweight="1pt">
                  <v:path arrowok="t" textboxrect="0,0,5715000,0"/>
                </v:shape>
                <w10:anchorlock/>
              </v:group>
            </w:pict>
          </mc:Fallback>
        </mc:AlternateContent>
      </w:r>
    </w:p>
    <w:p w:rsidR="00741D43" w:rsidRDefault="001B3F8C">
      <w:pPr>
        <w:tabs>
          <w:tab w:val="right" w:pos="9365"/>
        </w:tabs>
        <w:spacing w:after="0" w:line="259" w:lineRule="auto"/>
        <w:ind w:left="0" w:firstLine="0"/>
        <w:jc w:val="left"/>
      </w:pPr>
      <w:r>
        <w:rPr>
          <w:b/>
          <w:i/>
        </w:rPr>
        <w:t>Delegation from</w:t>
      </w:r>
      <w:r>
        <w:t xml:space="preserve"> </w:t>
      </w:r>
      <w:r>
        <w:tab/>
      </w:r>
      <w:r>
        <w:rPr>
          <w:b/>
          <w:i/>
        </w:rPr>
        <w:t xml:space="preserve">Represented by </w:t>
      </w:r>
      <w:r>
        <w:t xml:space="preserve"> </w:t>
      </w:r>
    </w:p>
    <w:p w:rsidR="00741D43" w:rsidRDefault="001B3F8C">
      <w:pPr>
        <w:tabs>
          <w:tab w:val="right" w:pos="9365"/>
        </w:tabs>
        <w:spacing w:after="0" w:line="259" w:lineRule="auto"/>
        <w:ind w:left="0" w:firstLine="0"/>
        <w:jc w:val="left"/>
      </w:pPr>
      <w:r>
        <w:rPr>
          <w:b/>
        </w:rPr>
        <w:t>Canada</w:t>
      </w:r>
      <w:r>
        <w:t xml:space="preserve"> </w:t>
      </w:r>
      <w:r>
        <w:tab/>
      </w:r>
      <w:r w:rsidRPr="001B3F8C">
        <w:rPr>
          <w:b/>
        </w:rPr>
        <w:t>Chiles High School</w:t>
      </w:r>
      <w:r>
        <w:t xml:space="preserve"> </w:t>
      </w:r>
      <w:r>
        <w:rPr>
          <w:b/>
        </w:rPr>
        <w:t xml:space="preserve"> </w:t>
      </w:r>
      <w:r>
        <w:t xml:space="preserve"> </w:t>
      </w:r>
    </w:p>
    <w:p w:rsidR="00741D43" w:rsidRDefault="001B3F8C">
      <w:pPr>
        <w:spacing w:after="0" w:line="259" w:lineRule="auto"/>
        <w:ind w:left="0" w:firstLine="0"/>
        <w:jc w:val="left"/>
      </w:pPr>
      <w:r>
        <w:t xml:space="preserve"> </w:t>
      </w:r>
    </w:p>
    <w:p w:rsidR="00741D43" w:rsidRDefault="001B3F8C">
      <w:pPr>
        <w:spacing w:after="0" w:line="259" w:lineRule="auto"/>
        <w:ind w:left="0" w:right="5" w:firstLine="0"/>
        <w:jc w:val="center"/>
      </w:pPr>
      <w:r>
        <w:rPr>
          <w:b/>
          <w:i/>
        </w:rPr>
        <w:t>Position Paper for the General Assembly</w:t>
      </w:r>
    </w:p>
    <w:p w:rsidR="00741D43" w:rsidRDefault="001B3F8C">
      <w:pPr>
        <w:spacing w:after="0" w:line="259" w:lineRule="auto"/>
        <w:ind w:left="0" w:firstLine="0"/>
        <w:jc w:val="left"/>
      </w:pPr>
      <w:r>
        <w:t xml:space="preserve"> </w:t>
      </w:r>
    </w:p>
    <w:p w:rsidR="00741D43" w:rsidRDefault="001B3F8C">
      <w:pPr>
        <w:ind w:left="-5" w:right="-10"/>
      </w:pPr>
      <w:r>
        <w:t xml:space="preserve">The topics before the General Assembly Plenary are: Breaking the Link between Diamonds and Armed Conflict; the Promotion of Alternative </w:t>
      </w:r>
      <w:r>
        <w:t>Sources of Energy; and the Implementation of the 2001-2010 International Decade to Roll Back Malaria in Developing Countries, Particularly in Africa. Canada is dedicated to collaborative multilateral approaches to ensuring protection and promotion of human</w:t>
      </w:r>
      <w:r>
        <w:t xml:space="preserve"> security and advancement of sustainable development.    </w:t>
      </w:r>
    </w:p>
    <w:p w:rsidR="00741D43" w:rsidRDefault="001B3F8C">
      <w:pPr>
        <w:spacing w:after="0" w:line="259" w:lineRule="auto"/>
        <w:ind w:left="0" w:firstLine="0"/>
        <w:jc w:val="left"/>
      </w:pPr>
      <w:r>
        <w:t xml:space="preserve"> </w:t>
      </w:r>
    </w:p>
    <w:p w:rsidR="00741D43" w:rsidRDefault="001B3F8C">
      <w:pPr>
        <w:pStyle w:val="Heading1"/>
        <w:ind w:left="177" w:right="9" w:hanging="177"/>
      </w:pPr>
      <w:r>
        <w:t>Breaking the Link between Diamonds and Armed Conflict</w:t>
      </w:r>
      <w:r>
        <w:rPr>
          <w:b w:val="0"/>
        </w:rPr>
        <w:t xml:space="preserve"> </w:t>
      </w:r>
    </w:p>
    <w:p w:rsidR="00741D43" w:rsidRDefault="001B3F8C">
      <w:pPr>
        <w:spacing w:after="0" w:line="259" w:lineRule="auto"/>
        <w:ind w:left="0" w:firstLine="0"/>
        <w:jc w:val="left"/>
      </w:pPr>
      <w:r>
        <w:t xml:space="preserve"> </w:t>
      </w:r>
    </w:p>
    <w:p w:rsidR="00741D43" w:rsidRDefault="001B3F8C">
      <w:pPr>
        <w:ind w:left="-5" w:right="-10"/>
      </w:pPr>
      <w:r>
        <w:t>Canada endorses the Kimberley Process in promoting accountability, transparency, and effective governmental regulation of trade in rough diamonds. Canada believes the Kimberley Process Certification Scheme (KPCS) is an essential international regulatory me</w:t>
      </w:r>
      <w:r>
        <w:t>chanism and encourages all Member States to contribute to market accountability by seeking membership, participation, and compliance with its mandate. Canada urges Member States to follow the recommendations of the 2007 Kimberley Process Communiqué to stre</w:t>
      </w:r>
      <w:r>
        <w:t>ngthen government oversight of rough diamond trading and manufacturing by developing domestic legal frameworks similar to the Extractive Industries Transparency Initiative. Canada further calls upon participating states to act in accordance with the KPCS’s</w:t>
      </w:r>
      <w:r>
        <w:t xml:space="preserve"> comprehensive and credible systems of peer review to monitor the continued implementation of the Kimberley Process and ensure full transparency and self-examination of domestic diamond industries. The delegation of Canada draws attention to our domestic p</w:t>
      </w:r>
      <w:r>
        <w:t>rograms for diamond regulation including Implementing the Export and Import of Rough Diamonds Act and urges Member States to consider these programs in developing the type of domestic regulatory frameworks called for in General Assembly resolution 55/56. C</w:t>
      </w:r>
      <w:r>
        <w:t xml:space="preserve">anada recognizes the crucial role of non-governmental organizations (NGOs) in the review of rough diamond control measures developed through the Kimberley Process and encourages states to include NGOs, such as Global Witness and Partnership Africa Canada, </w:t>
      </w:r>
      <w:r>
        <w:t>in the review processes called for in General Assembly resolution 58/290. Canada urges Member States to act in accordance with General Assembly resolution 60/182 to optimize the beneficial development impact of artisanal and alluvial diamond miners by esta</w:t>
      </w:r>
      <w:r>
        <w:t>blishing a coordinating mechanism for financial and technical assistance through the Working Group of the Kimberley Process of Artisanal Alluvial Producers. Canada calls upon states and NGOs to provide basic educational material regarding diamond valuation</w:t>
      </w:r>
      <w:r>
        <w:t xml:space="preserve"> and market prices for artisanal diggers, as recommended by the Diamond Development Initiative. Canada will continue to adhere to the 2007 Brussels Declaration on Internal Controls of Participants and is dedicated to ensuring accountability, transparency, </w:t>
      </w:r>
      <w:r>
        <w:t xml:space="preserve">and effective regulation of the rough diamond trade through the utilization of voluntary peer review systems and the promotion of increased measures of internal control within all diamond producing states.  </w:t>
      </w:r>
    </w:p>
    <w:p w:rsidR="00741D43" w:rsidRDefault="001B3F8C">
      <w:pPr>
        <w:spacing w:after="0" w:line="259" w:lineRule="auto"/>
        <w:ind w:left="0" w:firstLine="0"/>
        <w:jc w:val="left"/>
      </w:pPr>
      <w:r>
        <w:t xml:space="preserve"> </w:t>
      </w:r>
    </w:p>
    <w:p w:rsidR="00741D43" w:rsidRDefault="001B3F8C">
      <w:pPr>
        <w:pStyle w:val="Heading1"/>
        <w:ind w:left="254" w:right="4" w:hanging="254"/>
      </w:pPr>
      <w:r>
        <w:t>The Promotion of Alternative Sources of Energy</w:t>
      </w:r>
      <w:r>
        <w:t xml:space="preserve"> </w:t>
      </w:r>
    </w:p>
    <w:p w:rsidR="00741D43" w:rsidRDefault="001B3F8C">
      <w:pPr>
        <w:spacing w:after="0" w:line="259" w:lineRule="auto"/>
        <w:ind w:left="45" w:firstLine="0"/>
        <w:jc w:val="center"/>
      </w:pPr>
      <w:r>
        <w:t xml:space="preserve"> </w:t>
      </w:r>
    </w:p>
    <w:p w:rsidR="00741D43" w:rsidRDefault="001B3F8C">
      <w:pPr>
        <w:ind w:left="-5" w:right="-10"/>
      </w:pPr>
      <w:r>
        <w:t xml:space="preserve">Canada is dedicated to integrating alternative energy sources into climate change frameworks by diversifying the </w:t>
      </w:r>
      <w:proofErr w:type="gramStart"/>
      <w:r>
        <w:t>energy</w:t>
      </w:r>
      <w:proofErr w:type="gramEnd"/>
      <w:r>
        <w:t xml:space="preserve"> market while improving competitiveness in a sustainable economy, as exemplified through the Canadian Turning Corners Report and Proj</w:t>
      </w:r>
      <w:r>
        <w:t>ect Green climate strategies. Canada views the international commitment to the promotion of alternative sources of energy called for in the Kyoto Protocol and the United Nations Framework Convention on Climate Change (UNFCCC) as a catalyst to sustainable d</w:t>
      </w:r>
      <w:r>
        <w:t>evelopment and emission reduction. Canada fulfills its obligations under Article 4 of the UNFCCC by continuing to provide development assistance through the Climate Change Development Fund and calls upon Member States to commit substantial financial and te</w:t>
      </w:r>
      <w:r>
        <w:t>chnical investment toward the transfer of sustainable energy technologies and clean energy mechanisms to developing States. Canada emphasizes the need for Member States to follow the recommendations of the 2005 Beijing International Renewable Energy Confer</w:t>
      </w:r>
      <w:r>
        <w:t xml:space="preserve">ence to strengthen domestic policy frameworks to promote clean energy technologies. Canada views dissemination of technology information called for in the 2007 Group of Eight Declaration on Growth and Responsibility in the World Economy as a vital step in </w:t>
      </w:r>
      <w:r>
        <w:t>energy diversification from conventional energy generation. Canada calls upon Member States to integrate clean electricity from renewable sources into their domestic energy sector by employing investment campaigns similar to the Canadian $1.48 billion init</w:t>
      </w:r>
      <w:r>
        <w:t xml:space="preserve">iative </w:t>
      </w:r>
      <w:proofErr w:type="spellStart"/>
      <w:r>
        <w:t>ecoENERGY</w:t>
      </w:r>
      <w:proofErr w:type="spellEnd"/>
      <w:r>
        <w:t xml:space="preserve"> for </w:t>
      </w:r>
      <w:r>
        <w:lastRenderedPageBreak/>
        <w:t xml:space="preserve">Renewable Power. Canada encourages states to develop domestic policies of energy efficiency, utilizing regulatory and financing frameworks to accelerate the deployment of clean low-emitting technologies and calls upon Member States to </w:t>
      </w:r>
      <w:r>
        <w:t>provide knowledge-based advisory services for expanding access to energy in order to fulfill their commitments to Goal 1 of the Millennium Development Goals (MDGs). Canada urges states to address the concerns of the 2007 Human Development Report by promoti</w:t>
      </w:r>
      <w:r>
        <w:t>ng tax incentives, similar to the Capital Cost Allowances and Canadian Renewable and Conservation Expenses, to encourage private sector development of energy conservation and renewable energy projects. As a member of the Renewable Energy and Energy Efficie</w:t>
      </w:r>
      <w:r>
        <w:t>ncy Partnership, Canada is committed to accelerating the development of renewable energy projects, information sharing mechanisms, and energy efficient systems through the voluntary carbon offset system. We are dedicated to leading international efforts to</w:t>
      </w:r>
      <w:r>
        <w:t>ward the development and sharing of best practices on clean energy technologies and highlight our release of the Renewable Energy Technologies Screen software for public and private stakeholders developing projects in energy efficiency, cogeneration, and r</w:t>
      </w:r>
      <w:r>
        <w:t xml:space="preserve">enewable energy. Canada believes the integration of clean energy into state-specific strategies called for in the General Assembly Second Committee’s report to the General Assembly Plenary on Sustainable development: promotion of new and renewable sources </w:t>
      </w:r>
      <w:r>
        <w:t xml:space="preserve">of energy (A/62/419/Add.9) will strengthen energy diversification, promote the use of cogeneration, and achieve a synergy between promoting alternative energy while allowing for competitiveness in a sustainable economy.   </w:t>
      </w:r>
    </w:p>
    <w:p w:rsidR="00741D43" w:rsidRDefault="001B3F8C">
      <w:pPr>
        <w:spacing w:after="0" w:line="259" w:lineRule="auto"/>
        <w:ind w:left="1" w:firstLine="0"/>
        <w:jc w:val="left"/>
      </w:pPr>
      <w:r>
        <w:rPr>
          <w:b/>
        </w:rPr>
        <w:t xml:space="preserve"> </w:t>
      </w:r>
    </w:p>
    <w:p w:rsidR="00741D43" w:rsidRDefault="001B3F8C">
      <w:pPr>
        <w:pStyle w:val="Heading1"/>
        <w:ind w:left="10"/>
      </w:pPr>
      <w:r>
        <w:t>Implementation of the 2001-2010</w:t>
      </w:r>
      <w:r>
        <w:t xml:space="preserve"> International Decade to Roll Back Malaria in Developing Countries, Particularly in Africa</w:t>
      </w:r>
      <w:r>
        <w:rPr>
          <w:b w:val="0"/>
        </w:rPr>
        <w:t xml:space="preserve"> </w:t>
      </w:r>
    </w:p>
    <w:p w:rsidR="00741D43" w:rsidRDefault="001B3F8C">
      <w:pPr>
        <w:spacing w:after="0" w:line="259" w:lineRule="auto"/>
        <w:ind w:left="1" w:firstLine="0"/>
        <w:jc w:val="left"/>
      </w:pPr>
      <w:r>
        <w:t xml:space="preserve"> </w:t>
      </w:r>
    </w:p>
    <w:p w:rsidR="00741D43" w:rsidRDefault="001B3F8C">
      <w:pPr>
        <w:ind w:left="-5" w:right="-10"/>
      </w:pPr>
      <w:r>
        <w:t>Canada views the full implementation of the treatment and prevention targets of the 2001-2010 International Decade to Roll Back Malaria in Developing Countries, E</w:t>
      </w:r>
      <w:r>
        <w:t>specially in Africa, as essential to eradicating malaria and assisting African states to achieve Target 8 of Goal 6 of the MDGs by 2015. Canada recommends Member States to cooperate with the World Health Organization to ensure transparency in the collectio</w:t>
      </w:r>
      <w:r>
        <w:t>n of statistical information for Indicators 21 and 22 of the MDGs. Canada reaffirms the targets of the Abuja Declaration and Plan of Action stressing regional cooperation in the implementation, monitoring, and management of malaria prevention and treatment</w:t>
      </w:r>
      <w:r>
        <w:t xml:space="preserve"> initiatives in Africa. To fully implement General Assembly resolution 61/228, Canada believes developed states must balance trade and intellectual property obligations with the humanitarian objective of the Doha Declaration on the TRIPS Agreement and Publ</w:t>
      </w:r>
      <w:r>
        <w:t>ic Health. We continue to implement Paragraph 6 of the Doha Declaration on the TRIPS Agreement and Public Health into our compulsory licensing framework through the Jean Chrétien Pledge to Africa Act. Canada urges Member States to support compulsory licens</w:t>
      </w:r>
      <w:r>
        <w:t>ing for essential generic medication by including anti-malarial vaccines and initiating domestic provisions to permit export-only compulsory licenses to domestic pharmaceutical manufacturers, similar to Canada’s Access to Medicines Regime. Canada calls upo</w:t>
      </w:r>
      <w:r>
        <w:t>n Member States to establish advanced market commitments on the distribution of pneumococcal vaccines to developing States in cooperation with PATH and the Malaria Vaccine Initiative. Canada emphasizes the need for greater membership in the Roll Back Malar</w:t>
      </w:r>
      <w:r>
        <w:t>ia initiative to strengthen malaria control planning, funding, implementation, and evaluation by promoting increased investment in healthcare systems and greater incorporation of malaria control into all relevant multi-sector activities. Canada continues t</w:t>
      </w:r>
      <w:r>
        <w:t>o implement the Canadian International Development Agency’s (CIDA) New Agenda for Action on Health to reduce malaria infection rates among marginalized populations in Africa, increase routine immunizations rates, and reduce infection rates of other neglect</w:t>
      </w:r>
      <w:r>
        <w:t xml:space="preserve">ed infections. Canada will achieve the goal of doubling aid to Africa by 2008-2009 by providing assistance to the Global Fund to Fight Aids, Tuberculosis, and Malaria. We urge Member States to increase donations to intergovernmental organizations and NGOs </w:t>
      </w:r>
      <w:r>
        <w:t>that support malaria programming in Africa, exemplified by CIDA’s contribution of $26 million to the Canadian Red Cross. We continue our efforts to provide accessible and affordable vector control methods to African States through the Red Cross’ Malaria Be</w:t>
      </w:r>
      <w:r>
        <w:t xml:space="preserve">d Net Campaign and the African Medical Research Foundation Canada by supplying insecticide-treated mosquito nets and Participatory Malaria Prevention and Treatment tool kits.  </w:t>
      </w:r>
    </w:p>
    <w:p w:rsidR="00741D43" w:rsidRDefault="001B3F8C">
      <w:pPr>
        <w:spacing w:after="0" w:line="259" w:lineRule="auto"/>
        <w:ind w:left="0" w:firstLine="0"/>
        <w:jc w:val="left"/>
      </w:pPr>
      <w:r>
        <w:t xml:space="preserve"> </w:t>
      </w:r>
    </w:p>
    <w:p w:rsidR="00741D43" w:rsidRDefault="001B3F8C">
      <w:pPr>
        <w:spacing w:after="1487" w:line="259" w:lineRule="auto"/>
        <w:ind w:left="0" w:firstLine="0"/>
        <w:jc w:val="left"/>
      </w:pPr>
      <w:r>
        <w:t xml:space="preserve"> </w:t>
      </w:r>
    </w:p>
    <w:p w:rsidR="00741D43" w:rsidRDefault="001B3F8C">
      <w:pPr>
        <w:spacing w:after="0" w:line="259" w:lineRule="auto"/>
        <w:ind w:left="0" w:firstLine="0"/>
        <w:jc w:val="left"/>
      </w:pPr>
      <w:r>
        <w:rPr>
          <w:sz w:val="13"/>
        </w:rPr>
        <w:t xml:space="preserve"> </w:t>
      </w:r>
    </w:p>
    <w:sectPr w:rsidR="00741D43">
      <w:pgSz w:w="12240" w:h="15840"/>
      <w:pgMar w:top="1415" w:right="1435" w:bottom="7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92C67"/>
    <w:multiLevelType w:val="hybridMultilevel"/>
    <w:tmpl w:val="4176D800"/>
    <w:lvl w:ilvl="0" w:tplc="2F7061CC">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2C52DE">
      <w:start w:val="1"/>
      <w:numFmt w:val="lowerLetter"/>
      <w:lvlText w:val="%2"/>
      <w:lvlJc w:val="left"/>
      <w:pPr>
        <w:ind w:left="2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36F322">
      <w:start w:val="1"/>
      <w:numFmt w:val="lowerRoman"/>
      <w:lvlText w:val="%3"/>
      <w:lvlJc w:val="left"/>
      <w:pPr>
        <w:ind w:left="3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022A4E">
      <w:start w:val="1"/>
      <w:numFmt w:val="decimal"/>
      <w:lvlText w:val="%4"/>
      <w:lvlJc w:val="left"/>
      <w:pPr>
        <w:ind w:left="41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3437A0">
      <w:start w:val="1"/>
      <w:numFmt w:val="lowerLetter"/>
      <w:lvlText w:val="%5"/>
      <w:lvlJc w:val="left"/>
      <w:pPr>
        <w:ind w:left="48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B6A0C4">
      <w:start w:val="1"/>
      <w:numFmt w:val="lowerRoman"/>
      <w:lvlText w:val="%6"/>
      <w:lvlJc w:val="left"/>
      <w:pPr>
        <w:ind w:left="5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807144">
      <w:start w:val="1"/>
      <w:numFmt w:val="decimal"/>
      <w:lvlText w:val="%7"/>
      <w:lvlJc w:val="left"/>
      <w:pPr>
        <w:ind w:left="6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D0BA2E">
      <w:start w:val="1"/>
      <w:numFmt w:val="lowerLetter"/>
      <w:lvlText w:val="%8"/>
      <w:lvlJc w:val="left"/>
      <w:pPr>
        <w:ind w:left="69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E014C0">
      <w:start w:val="1"/>
      <w:numFmt w:val="lowerRoman"/>
      <w:lvlText w:val="%9"/>
      <w:lvlJc w:val="left"/>
      <w:pPr>
        <w:ind w:left="77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43"/>
    <w:rsid w:val="001B3F8C"/>
    <w:rsid w:val="0074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EEE59-82F2-4315-85F7-C140D2D2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9" w:lineRule="auto"/>
      <w:ind w:left="1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5" w:line="248" w:lineRule="auto"/>
      <w:ind w:left="118"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Sample Letter Head</vt:lpstr>
    </vt:vector>
  </TitlesOfParts>
  <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Head</dc:title>
  <dc:subject/>
  <dc:creator>Michael Eaton</dc:creator>
  <cp:keywords/>
  <cp:lastModifiedBy>wilsontr</cp:lastModifiedBy>
  <cp:revision>2</cp:revision>
  <dcterms:created xsi:type="dcterms:W3CDTF">2016-01-15T18:51:00Z</dcterms:created>
  <dcterms:modified xsi:type="dcterms:W3CDTF">2016-01-15T18:51:00Z</dcterms:modified>
</cp:coreProperties>
</file>